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E5" w:rsidRPr="00D5456B" w:rsidRDefault="005F09E5" w:rsidP="005F09E5">
      <w:pPr>
        <w:pStyle w:val="Para"/>
      </w:pPr>
    </w:p>
    <w:p w:rsidR="005F09E5" w:rsidRPr="00D5456B" w:rsidRDefault="005F09E5" w:rsidP="005F09E5">
      <w:pPr>
        <w:pStyle w:val="Para"/>
        <w:rPr>
          <w:rStyle w:val="None"/>
          <w:i/>
          <w:iCs/>
        </w:rPr>
      </w:pPr>
    </w:p>
    <w:p w:rsidR="005F09E5" w:rsidRPr="00D5456B" w:rsidRDefault="009A0689" w:rsidP="005F09E5">
      <w:pPr>
        <w:pStyle w:val="Table"/>
        <w:rPr>
          <w:rStyle w:val="NoneA"/>
          <w:rFonts w:eastAsia="Arial Unicode MS"/>
          <w:sz w:val="16"/>
          <w:szCs w:val="16"/>
          <w:lang w:eastAsia="zh-CN"/>
        </w:rPr>
      </w:pPr>
      <w:r>
        <w:rPr>
          <w:rStyle w:val="NoneA"/>
          <w:rFonts w:eastAsia="Arial Unicode MS"/>
          <w:b/>
          <w:bCs/>
          <w:sz w:val="16"/>
          <w:szCs w:val="16"/>
          <w:lang w:eastAsia="zh-CN"/>
        </w:rPr>
        <w:t>Supplementary 1</w:t>
      </w:r>
      <w:r w:rsidR="005F09E5" w:rsidRPr="00D5456B">
        <w:rPr>
          <w:rStyle w:val="NoneA"/>
          <w:rFonts w:eastAsia="Arial Unicode MS"/>
          <w:b/>
          <w:bCs/>
          <w:sz w:val="16"/>
          <w:szCs w:val="16"/>
          <w:lang w:eastAsia="zh-CN"/>
        </w:rPr>
        <w:t xml:space="preserve">. </w:t>
      </w:r>
      <w:r w:rsidR="005F09E5" w:rsidRPr="00D5456B">
        <w:rPr>
          <w:rStyle w:val="NoneA"/>
          <w:rFonts w:eastAsia="Arial Unicode MS"/>
          <w:sz w:val="16"/>
          <w:szCs w:val="16"/>
          <w:lang w:eastAsia="zh-CN"/>
        </w:rPr>
        <w:t>Characteristics of the Eligible Studies</w:t>
      </w:r>
    </w:p>
    <w:tbl>
      <w:tblPr>
        <w:tblStyle w:val="TableGrid"/>
        <w:tblW w:w="0" w:type="auto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5"/>
        <w:gridCol w:w="516"/>
        <w:gridCol w:w="747"/>
        <w:gridCol w:w="1134"/>
        <w:gridCol w:w="881"/>
        <w:gridCol w:w="802"/>
        <w:gridCol w:w="849"/>
        <w:gridCol w:w="1032"/>
        <w:gridCol w:w="708"/>
        <w:gridCol w:w="976"/>
        <w:gridCol w:w="679"/>
        <w:gridCol w:w="715"/>
        <w:gridCol w:w="596"/>
        <w:gridCol w:w="747"/>
        <w:gridCol w:w="755"/>
        <w:gridCol w:w="501"/>
        <w:gridCol w:w="708"/>
      </w:tblGrid>
      <w:tr w:rsidR="005F09E5" w:rsidRPr="00D5456B" w:rsidTr="00F57A1E">
        <w:trPr>
          <w:tblHeader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Study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Year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Country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Design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Setting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Study duration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GLP-1 RA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Comparator drug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Patients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Comparator (n)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Males (n)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Females (n)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Age (mean ± SD)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Diabetes duration (years)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bookmarkStart w:id="0" w:name="OLE_LINK11"/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HbA1c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BMI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b/>
                <w:bCs/>
                <w:sz w:val="16"/>
                <w:szCs w:val="16"/>
                <w:u w:color="FFFFFF"/>
              </w:rPr>
              <w:t>Validity score</w:t>
            </w:r>
          </w:p>
        </w:tc>
      </w:tr>
      <w:tr w:rsidR="005F09E5" w:rsidRPr="00D5456B" w:rsidTr="00F57A1E">
        <w:tc>
          <w:tcPr>
            <w:tcW w:w="761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Best et al [29]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USA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Retrospective cohort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The IMS LifeLink Program: Health Plan Claims (US) Database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June 2005 - March 2009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Exenatide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Combination therapy, metformin only, sulfonyl urea only, TZD only, and insulin only.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21,754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361,771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167,984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197,515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52.7 ± 8.7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&gt; 9 m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250.xx (ICD-9CM)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N/A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N/A</w:t>
            </w:r>
          </w:p>
        </w:tc>
      </w:tr>
      <w:tr w:rsidR="005F09E5" w:rsidRPr="00D5456B" w:rsidTr="00F57A1E">
        <w:tc>
          <w:tcPr>
            <w:tcW w:w="761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  <w:lang w:val="da-DK"/>
              </w:rPr>
              <w:t xml:space="preserve">Paul et al </w:t>
            </w:r>
            <w:r w:rsidRPr="00D5456B">
              <w:rPr>
                <w:rStyle w:val="None"/>
                <w:sz w:val="16"/>
                <w:szCs w:val="16"/>
                <w:lang w:val="pt-PT"/>
              </w:rPr>
              <w:t>[30]</w:t>
            </w:r>
          </w:p>
        </w:tc>
        <w:tc>
          <w:tcPr>
            <w:tcW w:w="510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USA</w:t>
            </w:r>
          </w:p>
        </w:tc>
        <w:tc>
          <w:tcPr>
            <w:tcW w:w="9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Retrospective cohort longitudinal pharmaco-epidemiological study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General Electric Centricity database (USA)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June 2005 - December 2012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Exenatide</w:t>
            </w:r>
          </w:p>
        </w:tc>
        <w:tc>
          <w:tcPr>
            <w:tcW w:w="90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Insulin</w:t>
            </w:r>
          </w:p>
        </w:tc>
        <w:tc>
          <w:tcPr>
            <w:tcW w:w="6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2,804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28,551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12.542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18.813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56 ± 11</w:t>
            </w:r>
          </w:p>
        </w:tc>
        <w:tc>
          <w:tcPr>
            <w:tcW w:w="1008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1.6 ± 2.2</w:t>
            </w:r>
          </w:p>
        </w:tc>
        <w:tc>
          <w:tcPr>
            <w:tcW w:w="709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59.6/62.8</w:t>
            </w:r>
          </w:p>
        </w:tc>
        <w:tc>
          <w:tcPr>
            <w:tcW w:w="709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38.8 ± 7.9</w:t>
            </w:r>
          </w:p>
        </w:tc>
        <w:tc>
          <w:tcPr>
            <w:tcW w:w="6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</w:tr>
      <w:tr w:rsidR="005F09E5" w:rsidRPr="00D5456B" w:rsidTr="00F57A1E">
        <w:tc>
          <w:tcPr>
            <w:tcW w:w="761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  <w:lang w:val="sv-SE"/>
              </w:rPr>
              <w:t xml:space="preserve">Svanstrom et al </w:t>
            </w:r>
            <w:r w:rsidRPr="00D5456B">
              <w:rPr>
                <w:rStyle w:val="None"/>
                <w:sz w:val="16"/>
                <w:szCs w:val="16"/>
                <w:lang w:val="pt-PT"/>
              </w:rPr>
              <w:t>[20]</w:t>
            </w:r>
          </w:p>
        </w:tc>
        <w:tc>
          <w:tcPr>
            <w:tcW w:w="510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Denmark and Sweden</w:t>
            </w:r>
          </w:p>
        </w:tc>
        <w:tc>
          <w:tcPr>
            <w:tcW w:w="9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Register-based cohort study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  <w:lang w:val="de-DE"/>
              </w:rPr>
              <w:t>Nationwide registers in Denmark and Sweden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January 1, 2010 to December 31, 2016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Liraglutide</w:t>
            </w:r>
          </w:p>
        </w:tc>
        <w:tc>
          <w:tcPr>
            <w:tcW w:w="90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DPP-4</w:t>
            </w:r>
          </w:p>
        </w:tc>
        <w:tc>
          <w:tcPr>
            <w:tcW w:w="6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23,402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23,402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27,614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19,190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59.4 ± 10.1</w:t>
            </w:r>
          </w:p>
        </w:tc>
        <w:tc>
          <w:tcPr>
            <w:tcW w:w="1008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  <w:tc>
          <w:tcPr>
            <w:tcW w:w="709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  <w:tc>
          <w:tcPr>
            <w:tcW w:w="6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</w:tr>
      <w:tr w:rsidR="005F09E5" w:rsidRPr="00D5456B" w:rsidTr="00F57A1E">
        <w:tc>
          <w:tcPr>
            <w:tcW w:w="761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  <w:lang w:val="da-DK"/>
              </w:rPr>
              <w:t>Thomsen et al [19]</w:t>
            </w:r>
          </w:p>
        </w:tc>
        <w:tc>
          <w:tcPr>
            <w:tcW w:w="510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Danmark</w:t>
            </w:r>
          </w:p>
        </w:tc>
        <w:tc>
          <w:tcPr>
            <w:tcW w:w="9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Nationwide population-based comparative effectiveness cohort study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Danish Data registry (Danmark)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2015 to 2018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Liraglutide</w:t>
            </w:r>
          </w:p>
        </w:tc>
        <w:tc>
          <w:tcPr>
            <w:tcW w:w="90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Empagliflozin</w:t>
            </w:r>
          </w:p>
        </w:tc>
        <w:tc>
          <w:tcPr>
            <w:tcW w:w="6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12,706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14,498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6,820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9,264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59.3 (50.2 -68.2)</w:t>
            </w:r>
          </w:p>
        </w:tc>
        <w:tc>
          <w:tcPr>
            <w:tcW w:w="1008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6.1 (2. 2 - 10.9)</w:t>
            </w:r>
          </w:p>
        </w:tc>
        <w:tc>
          <w:tcPr>
            <w:tcW w:w="709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  <w:tc>
          <w:tcPr>
            <w:tcW w:w="6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</w:tr>
      <w:tr w:rsidR="005F09E5" w:rsidRPr="00D5456B" w:rsidTr="00F57A1E">
        <w:tc>
          <w:tcPr>
            <w:tcW w:w="761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  <w:lang w:val="da-DK"/>
              </w:rPr>
              <w:t xml:space="preserve">Nathan et al </w:t>
            </w:r>
            <w:r w:rsidRPr="00D5456B">
              <w:rPr>
                <w:rStyle w:val="None"/>
                <w:sz w:val="16"/>
                <w:szCs w:val="16"/>
              </w:rPr>
              <w:t xml:space="preserve">(subset LIR vs. SIT) </w:t>
            </w:r>
            <w:r w:rsidRPr="00D5456B">
              <w:rPr>
                <w:rStyle w:val="None"/>
                <w:sz w:val="16"/>
                <w:szCs w:val="16"/>
                <w:lang w:val="pt-PT"/>
              </w:rPr>
              <w:t>[21]</w:t>
            </w:r>
          </w:p>
        </w:tc>
        <w:tc>
          <w:tcPr>
            <w:tcW w:w="510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USA</w:t>
            </w:r>
          </w:p>
        </w:tc>
        <w:tc>
          <w:tcPr>
            <w:tcW w:w="9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Comparative study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36 clinical centers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From July 2013 to August 2017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Liraglutide</w:t>
            </w:r>
          </w:p>
        </w:tc>
        <w:tc>
          <w:tcPr>
            <w:tcW w:w="90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Sitagliptin</w:t>
            </w:r>
          </w:p>
        </w:tc>
        <w:tc>
          <w:tcPr>
            <w:tcW w:w="6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1,262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3,785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3,210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1,837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57.2 ± 10.0</w:t>
            </w:r>
          </w:p>
        </w:tc>
        <w:tc>
          <w:tcPr>
            <w:tcW w:w="1008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&gt; 10</w:t>
            </w:r>
          </w:p>
        </w:tc>
        <w:tc>
          <w:tcPr>
            <w:tcW w:w="709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6.5-8.5%</w:t>
            </w:r>
          </w:p>
        </w:tc>
        <w:tc>
          <w:tcPr>
            <w:tcW w:w="709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  <w:tc>
          <w:tcPr>
            <w:tcW w:w="6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</w:tr>
      <w:tr w:rsidR="005F09E5" w:rsidRPr="00D5456B" w:rsidTr="00F57A1E">
        <w:tc>
          <w:tcPr>
            <w:tcW w:w="761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  <w:lang w:val="fr-FR"/>
              </w:rPr>
              <w:t>N</w:t>
            </w:r>
            <w:r w:rsidRPr="00D5456B">
              <w:rPr>
                <w:rStyle w:val="None"/>
                <w:sz w:val="16"/>
                <w:szCs w:val="16"/>
                <w:lang w:val="fr-FR"/>
              </w:rPr>
              <w:lastRenderedPageBreak/>
              <w:t>athan et al (subset LIR vs. GLIM) [21]</w:t>
            </w:r>
          </w:p>
        </w:tc>
        <w:tc>
          <w:tcPr>
            <w:tcW w:w="510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2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022</w:t>
            </w:r>
          </w:p>
        </w:tc>
        <w:tc>
          <w:tcPr>
            <w:tcW w:w="851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U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SA</w:t>
            </w:r>
          </w:p>
        </w:tc>
        <w:tc>
          <w:tcPr>
            <w:tcW w:w="9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Com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parative study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3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6 clinical centers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F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rom July 2013 to August 2017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L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iraglutide</w:t>
            </w:r>
          </w:p>
        </w:tc>
        <w:tc>
          <w:tcPr>
            <w:tcW w:w="90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Gli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mepiride</w:t>
            </w:r>
          </w:p>
        </w:tc>
        <w:tc>
          <w:tcPr>
            <w:tcW w:w="6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1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,262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3,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785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3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,210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1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,837</w:t>
            </w:r>
          </w:p>
        </w:tc>
        <w:tc>
          <w:tcPr>
            <w:tcW w:w="76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5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7.2 ± 10.0</w:t>
            </w:r>
          </w:p>
        </w:tc>
        <w:tc>
          <w:tcPr>
            <w:tcW w:w="1008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&gt;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 xml:space="preserve"> 10</w:t>
            </w:r>
          </w:p>
        </w:tc>
        <w:tc>
          <w:tcPr>
            <w:tcW w:w="709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lastRenderedPageBreak/>
              <w:t>6</w:t>
            </w:r>
            <w:r w:rsidRPr="00D5456B">
              <w:rPr>
                <w:rStyle w:val="None"/>
                <w:sz w:val="16"/>
                <w:szCs w:val="16"/>
              </w:rPr>
              <w:lastRenderedPageBreak/>
              <w:t>.5-8.5%</w:t>
            </w:r>
          </w:p>
        </w:tc>
        <w:tc>
          <w:tcPr>
            <w:tcW w:w="709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  <w:tc>
          <w:tcPr>
            <w:tcW w:w="622" w:type="dxa"/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</w:tr>
      <w:tr w:rsidR="005F09E5" w:rsidRPr="00D5456B" w:rsidTr="00F57A1E">
        <w:tc>
          <w:tcPr>
            <w:tcW w:w="761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  <w:lang w:val="fr-FR"/>
              </w:rPr>
              <w:lastRenderedPageBreak/>
              <w:t>Natha et al (subset LIR vs. GLA) [21]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USA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Comparative study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36 clinical centers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From July 2013 to August 2017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Liraglutide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Glargine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1,262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3,785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3,210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1,837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57.2 ± 10.0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&gt; 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  <w:r w:rsidRPr="00D5456B">
              <w:rPr>
                <w:rStyle w:val="None"/>
                <w:sz w:val="16"/>
                <w:szCs w:val="16"/>
              </w:rPr>
              <w:t>6.5-8.5%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5F09E5" w:rsidRPr="00D5456B" w:rsidRDefault="005F09E5" w:rsidP="00F57A1E">
            <w:pPr>
              <w:pStyle w:val="Para"/>
              <w:rPr>
                <w:rStyle w:val="NoneA"/>
                <w:sz w:val="16"/>
                <w:szCs w:val="16"/>
              </w:rPr>
            </w:pPr>
          </w:p>
        </w:tc>
      </w:tr>
    </w:tbl>
    <w:p w:rsidR="005F09E5" w:rsidRPr="00D5456B" w:rsidRDefault="005F09E5" w:rsidP="005F09E5">
      <w:pPr>
        <w:pStyle w:val="TableFootnote"/>
        <w:rPr>
          <w:rStyle w:val="NoneA"/>
          <w:sz w:val="16"/>
          <w:szCs w:val="16"/>
          <w:lang w:eastAsia="zh-CN"/>
        </w:rPr>
      </w:pPr>
      <w:r w:rsidRPr="00D5456B">
        <w:rPr>
          <w:rStyle w:val="None"/>
          <w:sz w:val="16"/>
          <w:szCs w:val="16"/>
          <w:u w:color="FFFFFF"/>
        </w:rPr>
        <w:t>GLP-1 RA:</w:t>
      </w:r>
      <w:r w:rsidRPr="00D5456B">
        <w:rPr>
          <w:rStyle w:val="Hyperlink2"/>
          <w:sz w:val="16"/>
          <w:szCs w:val="16"/>
          <w:lang w:eastAsia="zh-CN"/>
        </w:rPr>
        <w:t xml:space="preserve"> glucagon-like peptide 1 receptor agonist;</w:t>
      </w:r>
      <w:r w:rsidRPr="00D5456B">
        <w:rPr>
          <w:rStyle w:val="None"/>
          <w:sz w:val="16"/>
          <w:szCs w:val="16"/>
          <w:u w:color="FFFFFF"/>
        </w:rPr>
        <w:t xml:space="preserve"> DPP-4: dipeptidyl peptidase-4; </w:t>
      </w:r>
      <w:bookmarkStart w:id="1" w:name="OLE_LINK12"/>
      <w:r w:rsidRPr="00D5456B">
        <w:rPr>
          <w:rStyle w:val="None"/>
          <w:sz w:val="16"/>
          <w:szCs w:val="16"/>
          <w:u w:color="FFFFFF"/>
        </w:rPr>
        <w:t>TZD</w:t>
      </w:r>
      <w:bookmarkEnd w:id="1"/>
      <w:r w:rsidRPr="00D5456B">
        <w:rPr>
          <w:rStyle w:val="None"/>
          <w:sz w:val="16"/>
          <w:szCs w:val="16"/>
          <w:u w:color="FFFFFF"/>
        </w:rPr>
        <w:t>:</w:t>
      </w:r>
      <w:r w:rsidRPr="00D5456B">
        <w:t xml:space="preserve"> </w:t>
      </w:r>
      <w:r w:rsidRPr="00D5456B">
        <w:rPr>
          <w:rStyle w:val="None"/>
          <w:sz w:val="16"/>
          <w:szCs w:val="16"/>
          <w:u w:color="FFFFFF"/>
        </w:rPr>
        <w:t xml:space="preserve">thiazolidinedione; HbA1c: </w:t>
      </w:r>
      <w:r w:rsidRPr="00D5456B">
        <w:rPr>
          <w:rStyle w:val="Hyperlink2"/>
          <w:sz w:val="16"/>
          <w:szCs w:val="16"/>
          <w:lang w:eastAsia="zh-CN"/>
        </w:rPr>
        <w:t>glycosylated hemoglobin;</w:t>
      </w:r>
      <w:r w:rsidRPr="00D5456B">
        <w:rPr>
          <w:rStyle w:val="None"/>
          <w:sz w:val="16"/>
          <w:szCs w:val="16"/>
          <w:u w:color="FFFFFF"/>
        </w:rPr>
        <w:t xml:space="preserve"> BMI: </w:t>
      </w:r>
      <w:r w:rsidRPr="00D5456B">
        <w:rPr>
          <w:rStyle w:val="Hyperlink2"/>
          <w:sz w:val="16"/>
          <w:szCs w:val="16"/>
          <w:lang w:eastAsia="zh-CN"/>
        </w:rPr>
        <w:t>basal metabolic index;</w:t>
      </w:r>
      <w:r w:rsidRPr="00D5456B">
        <w:rPr>
          <w:rStyle w:val="None"/>
          <w:sz w:val="16"/>
          <w:szCs w:val="16"/>
          <w:u w:color="FFFFFF"/>
        </w:rPr>
        <w:t xml:space="preserve"> SD: standard deviation.</w:t>
      </w:r>
    </w:p>
    <w:p w:rsidR="005F09E5" w:rsidRDefault="005F09E5" w:rsidP="005F09E5">
      <w:pPr>
        <w:pStyle w:val="Para"/>
        <w:rPr>
          <w:rStyle w:val="NoneA"/>
          <w:lang w:eastAsia="zh-CN"/>
        </w:rPr>
      </w:pPr>
    </w:p>
    <w:p w:rsidR="00FA6FA7" w:rsidRDefault="00FA6FA7" w:rsidP="005F09E5">
      <w:pPr>
        <w:pStyle w:val="Para"/>
        <w:rPr>
          <w:rStyle w:val="NoneA"/>
          <w:lang w:eastAsia="zh-CN"/>
        </w:rPr>
      </w:pPr>
    </w:p>
    <w:p w:rsidR="00FA6FA7" w:rsidRPr="009A6835" w:rsidRDefault="00FA6FA7" w:rsidP="005F09E5">
      <w:pPr>
        <w:pStyle w:val="Para"/>
        <w:rPr>
          <w:rStyle w:val="NoneA"/>
          <w:b/>
          <w:lang w:eastAsia="zh-CN"/>
        </w:rPr>
      </w:pPr>
      <w:r w:rsidRPr="009A6835">
        <w:rPr>
          <w:rStyle w:val="NoneA"/>
          <w:b/>
          <w:lang w:eastAsia="zh-CN"/>
        </w:rPr>
        <w:t>References</w:t>
      </w:r>
    </w:p>
    <w:p w:rsidR="00FA6FA7" w:rsidRDefault="00FA6FA7" w:rsidP="005F09E5">
      <w:pPr>
        <w:pStyle w:val="Para"/>
        <w:rPr>
          <w:rStyle w:val="NoneA"/>
          <w:lang w:eastAsia="zh-CN"/>
        </w:rPr>
      </w:pPr>
    </w:p>
    <w:p w:rsidR="00FA6FA7" w:rsidRPr="00D5456B" w:rsidRDefault="00FA6FA7" w:rsidP="005F09E5">
      <w:pPr>
        <w:pStyle w:val="Para"/>
        <w:rPr>
          <w:rStyle w:val="NoneA"/>
          <w:lang w:eastAsia="zh-CN"/>
        </w:rPr>
      </w:pPr>
    </w:p>
    <w:p w:rsidR="00EF36FB" w:rsidRPr="00D5456B" w:rsidRDefault="00EF36FB" w:rsidP="00EF36FB">
      <w:pPr>
        <w:pStyle w:val="Reference"/>
      </w:pPr>
      <w:r>
        <w:t xml:space="preserve">19. </w:t>
      </w:r>
      <w:r w:rsidRPr="00D5456B">
        <w:tab/>
        <w:t>Thomsen RW, Knudsen JS, Kahlert J, Baggesen LM, Lajer M, Holmgaard PH, Vedin O, et al. Cardiovascular Events, Acute Hospitalizations, and Mortality in Patients With Type 2 Diabetes Mellitus Who Initiate Empagliflozin Versus Liraglutide: A Comparative Effectiveness Study. J Am Heart Assoc. 2021;10(11):e019356.</w:t>
      </w:r>
      <w:r w:rsidRPr="00D5456B">
        <w:br/>
        <w:t>doi:10.1161/JAHA.120.019356</w:t>
      </w:r>
      <w:r w:rsidRPr="00D5456B">
        <w:br/>
        <w:t>PubMed PMID:34032121 PMCid:PMC8483550</w:t>
      </w:r>
    </w:p>
    <w:p w:rsidR="00EF36FB" w:rsidRPr="00D5456B" w:rsidRDefault="00EF36FB" w:rsidP="00EF36FB">
      <w:pPr>
        <w:pStyle w:val="Reference"/>
      </w:pPr>
    </w:p>
    <w:p w:rsidR="00EF36FB" w:rsidRPr="00D5456B" w:rsidRDefault="00EF36FB" w:rsidP="00EF36FB">
      <w:pPr>
        <w:pStyle w:val="Reference"/>
      </w:pPr>
      <w:r>
        <w:t xml:space="preserve">20. </w:t>
      </w:r>
      <w:r w:rsidRPr="00D5456B">
        <w:tab/>
        <w:t>Svanstrom H, Ueda P, Melbye M, Eliasson B, Svensson AM, Franzen S, Gudbjornsdottir S, et al. Use of liraglutide and risk of major cardiovascular events: a register-based cohort study in Denmark and Sweden. Lancet Diabetes Endocrinol. 2019;7(2):106-114.</w:t>
      </w:r>
      <w:r w:rsidRPr="00D5456B">
        <w:br/>
        <w:t>doi:10.1016/S2213-8587(18)30320-6</w:t>
      </w:r>
      <w:r w:rsidRPr="00D5456B">
        <w:br/>
        <w:t>PubMed PMID:30527909</w:t>
      </w:r>
    </w:p>
    <w:p w:rsidR="00EF36FB" w:rsidRPr="00D5456B" w:rsidRDefault="00EF36FB" w:rsidP="00EF36FB">
      <w:pPr>
        <w:pStyle w:val="Reference"/>
      </w:pPr>
    </w:p>
    <w:p w:rsidR="00EF36FB" w:rsidRPr="00D5456B" w:rsidRDefault="00EF36FB" w:rsidP="00EF36FB">
      <w:pPr>
        <w:pStyle w:val="Reference"/>
      </w:pPr>
      <w:r>
        <w:t xml:space="preserve">21. </w:t>
      </w:r>
      <w:r w:rsidRPr="00D5456B">
        <w:tab/>
        <w:t>Grade Study Research Group, Nathan DM, Lachin JM, Bebu I, Burch HB, Buse JB, Cherrington AL, et al. Glycemia reduction in type 2 diabetes - microvascular and cardiovascular outcomes. N Engl J Med. 2022;387(12):1075-1088.</w:t>
      </w:r>
      <w:r w:rsidRPr="00D5456B">
        <w:br/>
      </w:r>
      <w:r w:rsidRPr="00D5456B">
        <w:lastRenderedPageBreak/>
        <w:t>doi:10.1056/NEJMoa2200436</w:t>
      </w:r>
      <w:r w:rsidRPr="00D5456B">
        <w:br/>
        <w:t>PubMed PMID:36129997 PMCid:PMC9832916</w:t>
      </w:r>
    </w:p>
    <w:p w:rsidR="00D963A7" w:rsidRDefault="00D963A7" w:rsidP="00D963A7">
      <w:pPr>
        <w:pStyle w:val="Reference"/>
      </w:pPr>
    </w:p>
    <w:p w:rsidR="00D963A7" w:rsidRPr="00D5456B" w:rsidRDefault="00D963A7" w:rsidP="00D963A7">
      <w:pPr>
        <w:pStyle w:val="Reference"/>
      </w:pPr>
      <w:r>
        <w:t xml:space="preserve">29. </w:t>
      </w:r>
      <w:r w:rsidRPr="00D5456B">
        <w:tab/>
        <w:t>Best JH, Hoogwerf BJ, Herman WH, Pelletier EM, Smith DB, Wenten M, Hussein MA. Risk of cardiovascular disease events in patients with type 2 diabetes prescribed the glucagon-like peptide 1 (GLP-1) receptor agonist exenatide twice daily or other glucose-lowering therapies: a retrospective analysis of the LifeLink database. Diabetes Care. 2011;34(1):90-95.</w:t>
      </w:r>
      <w:r w:rsidRPr="00D5456B">
        <w:br/>
        <w:t>doi:10.2337/dc10-1393</w:t>
      </w:r>
      <w:r w:rsidRPr="00D5456B">
        <w:br/>
        <w:t>PubMed PMID:20929995 PMCid:PMC3005487</w:t>
      </w:r>
    </w:p>
    <w:p w:rsidR="00D963A7" w:rsidRPr="00D5456B" w:rsidRDefault="00D963A7" w:rsidP="00D963A7">
      <w:pPr>
        <w:pStyle w:val="Reference"/>
      </w:pPr>
    </w:p>
    <w:p w:rsidR="00D963A7" w:rsidRPr="00D5456B" w:rsidRDefault="00D963A7" w:rsidP="00D963A7">
      <w:pPr>
        <w:pStyle w:val="Reference"/>
      </w:pPr>
      <w:r>
        <w:t xml:space="preserve">30. </w:t>
      </w:r>
      <w:r w:rsidRPr="00D5456B">
        <w:tab/>
        <w:t>Paul SK, Klein K, Maggs D, Best JH. The association of the treatment with glucagon-like peptide-1 receptor agonist exenatide or insulin with cardiovascular outcomes in patients with type 2 diabetes: a retrospective observational study. Cardiovasc Diabetol. 2015;14:10.</w:t>
      </w:r>
      <w:r w:rsidRPr="00D5456B">
        <w:br/>
        <w:t>doi:10.1186/s12933-015-0178-3</w:t>
      </w:r>
      <w:r w:rsidRPr="00D5456B">
        <w:br/>
        <w:t>PubMed PMID:25616979 PMCid:PMC4314769</w:t>
      </w:r>
    </w:p>
    <w:p w:rsidR="00D963A7" w:rsidRPr="00D5456B" w:rsidRDefault="00D963A7" w:rsidP="00D963A7">
      <w:pPr>
        <w:pStyle w:val="Reference"/>
      </w:pPr>
    </w:p>
    <w:p w:rsidR="00957D7C" w:rsidRPr="00EF36FB" w:rsidRDefault="00957D7C">
      <w:pPr>
        <w:rPr>
          <w:lang w:val="en-GB"/>
        </w:rPr>
      </w:pPr>
    </w:p>
    <w:sectPr w:rsidR="00957D7C" w:rsidRPr="00EF36FB" w:rsidSect="0028227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5F09E5"/>
    <w:rsid w:val="0028227E"/>
    <w:rsid w:val="005F09E5"/>
    <w:rsid w:val="00957D7C"/>
    <w:rsid w:val="009A0689"/>
    <w:rsid w:val="009A6835"/>
    <w:rsid w:val="00C45CC2"/>
    <w:rsid w:val="00D963A7"/>
    <w:rsid w:val="00EF36FB"/>
    <w:rsid w:val="00FA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2">
    <w:name w:val="Hyperlink.2"/>
    <w:rsid w:val="005F09E5"/>
    <w:rPr>
      <w:rFonts w:ascii="Times New Roman" w:hAnsi="Times New Roman"/>
      <w:kern w:val="24"/>
      <w:sz w:val="24"/>
      <w:lang w:val="en-US"/>
    </w:rPr>
  </w:style>
  <w:style w:type="character" w:customStyle="1" w:styleId="None">
    <w:name w:val="None"/>
    <w:rsid w:val="005F09E5"/>
  </w:style>
  <w:style w:type="character" w:customStyle="1" w:styleId="NoneA">
    <w:name w:val="None A"/>
    <w:rsid w:val="005F09E5"/>
    <w:rPr>
      <w:lang w:val="en-US"/>
    </w:rPr>
  </w:style>
  <w:style w:type="table" w:styleId="TableGrid">
    <w:name w:val="Table Grid"/>
    <w:basedOn w:val="TableNormal"/>
    <w:uiPriority w:val="59"/>
    <w:rsid w:val="005F09E5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">
    <w:name w:val="Para"/>
    <w:basedOn w:val="Normal"/>
    <w:rsid w:val="005F09E5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rsid w:val="005F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Footnote">
    <w:name w:val="Table Footnote"/>
    <w:basedOn w:val="Normal"/>
    <w:rsid w:val="005F09E5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rsid w:val="00EF36FB"/>
    <w:pPr>
      <w:spacing w:after="0" w:line="240" w:lineRule="auto"/>
      <w:ind w:left="357" w:hanging="357"/>
    </w:pPr>
    <w:rPr>
      <w:rFonts w:ascii="Times New Roman" w:eastAsia="宋体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9</cp:revision>
  <dcterms:created xsi:type="dcterms:W3CDTF">2023-07-12T02:26:00Z</dcterms:created>
  <dcterms:modified xsi:type="dcterms:W3CDTF">2023-07-12T02:29:00Z</dcterms:modified>
</cp:coreProperties>
</file>